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证券代码：000759         证券简称：中百集团         公告编号：2022-003</w:t>
      </w:r>
    </w:p>
    <w:p>
      <w:pPr>
        <w:adjustRightInd w:val="0"/>
        <w:snapToGrid w:val="0"/>
        <w:jc w:val="center"/>
        <w:rPr>
          <w:rStyle w:val="9"/>
          <w:b/>
          <w:kern w:val="0"/>
          <w:sz w:val="24"/>
        </w:rPr>
      </w:pPr>
    </w:p>
    <w:p>
      <w:pPr>
        <w:pStyle w:val="4"/>
        <w:adjustRightInd w:val="0"/>
        <w:snapToGrid w:val="0"/>
        <w:spacing w:before="0" w:beforeAutospacing="0" w:after="0" w:afterAutospacing="0"/>
        <w:ind w:right="178" w:rightChars="85"/>
        <w:jc w:val="center"/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</w:pPr>
      <w:r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  <w:t>中百控股集团股份有限公司</w:t>
      </w:r>
    </w:p>
    <w:p>
      <w:pPr>
        <w:pStyle w:val="4"/>
        <w:adjustRightInd w:val="0"/>
        <w:snapToGrid w:val="0"/>
        <w:spacing w:before="0" w:beforeAutospacing="0" w:after="0" w:afterAutospacing="0"/>
        <w:ind w:right="178" w:rightChars="85"/>
        <w:jc w:val="center"/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</w:pPr>
      <w:r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  <w:t>关于</w:t>
      </w:r>
      <w:r>
        <w:rPr>
          <w:rStyle w:val="9"/>
          <w:rFonts w:hint="eastAsia" w:ascii="Times New Roman" w:hAnsi="Times New Roman" w:eastAsia="黑体" w:cs="Times New Roman"/>
          <w:color w:val="auto"/>
          <w:sz w:val="36"/>
          <w:szCs w:val="36"/>
        </w:rPr>
        <w:t>董事辞职</w:t>
      </w:r>
      <w:r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  <w:t>的公告</w:t>
      </w: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  <w:r>
        <w:rPr>
          <w:rFonts w:ascii="Times New Roman" w:hAnsi="Times New Roman" w:eastAsia="楷体_GB2312" w:cs="Times New Roman"/>
          <w:b/>
          <w:color w:val="auto"/>
        </w:rPr>
        <w:pict>
          <v:rect id="Rectangle 17" o:spid="_x0000_s1026" o:spt="1" style="position:absolute;left:0pt;margin-left:-3.75pt;margin-top:12.05pt;height:57pt;width:421.5pt;z-index:251660288;mso-width-relative:page;mso-height-relative:page;" coordsize="21600,21600" o:gfxdata="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RvwG7NcAAAAJAQAA&#10;DwAAAAAAAAABACAAAAAiAAAAZHJzL2Rvd25yZXYueG1sUEsBAhQAFAAAAAgAh07iQHmfzpAaAgAA&#10;QAQAAA4AAAAAAAAAAQAgAAAAJgEAAGRycy9lMm9Eb2MueG1sUEsFBgAAAAAGAAYAWQEAALIFAAAA&#10;AA==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440" w:lineRule="exact"/>
                    <w:ind w:firstLine="480" w:firstLineChars="200"/>
                    <w:rPr>
                      <w:rFonts w:ascii="楷体_GB2312" w:eastAsia="楷体_GB2312"/>
                      <w:sz w:val="24"/>
                    </w:rPr>
                  </w:pPr>
                  <w:r>
                    <w:rPr>
                      <w:rFonts w:hint="eastAsia" w:ascii="楷体_GB2312" w:eastAsia="楷体_GB2312"/>
                      <w:sz w:val="24"/>
                    </w:rPr>
                    <w:t>本公司及董事会全体成员保证信息披露的内容真实、准确、完整，没有虚假记载、误导性陈述或重大遗漏。</w:t>
                  </w:r>
                </w:p>
              </w:txbxContent>
            </v:textbox>
          </v:rect>
        </w:pict>
      </w: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rPr>
          <w:rFonts w:hAnsi="宋体"/>
          <w:b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 w:eastAsiaTheme="minorEastAsia"/>
          <w:color w:val="000000" w:themeColor="text1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中百控股集团股份有限公司</w:t>
      </w:r>
      <w:r>
        <w:rPr>
          <w:rStyle w:val="9"/>
          <w:rFonts w:asciiTheme="minorEastAsia" w:hAnsiTheme="minorEastAsia" w:eastAsiaTheme="minorEastAsia"/>
          <w:sz w:val="24"/>
        </w:rPr>
        <w:t>（以下简称“公司”）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于</w:t>
      </w:r>
      <w:r>
        <w:rPr>
          <w:rStyle w:val="9"/>
          <w:rFonts w:hint="eastAsia" w:asciiTheme="minorEastAsia" w:hAnsiTheme="minorEastAsia" w:eastAsiaTheme="minorEastAsia"/>
          <w:sz w:val="24"/>
        </w:rPr>
        <w:t>近日</w:t>
      </w:r>
      <w:r>
        <w:rPr>
          <w:rStyle w:val="9"/>
          <w:rFonts w:asciiTheme="minorEastAsia" w:hAnsiTheme="minorEastAsia" w:eastAsiaTheme="minorEastAsia"/>
          <w:sz w:val="24"/>
        </w:rPr>
        <w:t>收到</w:t>
      </w:r>
      <w:r>
        <w:rPr>
          <w:rStyle w:val="9"/>
          <w:rFonts w:hint="eastAsia" w:asciiTheme="minorEastAsia" w:hAnsiTheme="minorEastAsia" w:eastAsiaTheme="minorEastAsia"/>
          <w:sz w:val="24"/>
        </w:rPr>
        <w:t>公司董事吴莉敏女士</w:t>
      </w:r>
      <w:r>
        <w:rPr>
          <w:rStyle w:val="9"/>
          <w:rFonts w:asciiTheme="minorEastAsia" w:hAnsiTheme="minorEastAsia" w:eastAsiaTheme="minorEastAsia"/>
          <w:sz w:val="24"/>
        </w:rPr>
        <w:t>递交的书面辞职</w:t>
      </w:r>
      <w:r>
        <w:rPr>
          <w:rStyle w:val="9"/>
          <w:rFonts w:hint="eastAsia" w:asciiTheme="minorEastAsia" w:hAnsiTheme="minorEastAsia" w:eastAsiaTheme="minorEastAsia"/>
          <w:sz w:val="24"/>
        </w:rPr>
        <w:t>报告。吴莉敏女士因为个人原因，提请辞去公司第十届董事会董事、董事会战略委员会委员等职务</w:t>
      </w:r>
      <w:r>
        <w:rPr>
          <w:rStyle w:val="9"/>
          <w:rFonts w:asciiTheme="minorEastAsia" w:hAnsiTheme="minorEastAsia" w:eastAsiaTheme="minorEastAsia"/>
          <w:sz w:val="24"/>
        </w:rPr>
        <w:t>。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辞职后，</w:t>
      </w:r>
      <w:r>
        <w:rPr>
          <w:rStyle w:val="9"/>
          <w:rFonts w:hint="eastAsia" w:asciiTheme="minorEastAsia" w:hAnsiTheme="minorEastAsia" w:eastAsiaTheme="minorEastAsia"/>
          <w:sz w:val="24"/>
        </w:rPr>
        <w:t>吴莉敏女士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不再担任公司任何职务。截至本公告日，</w:t>
      </w:r>
      <w:r>
        <w:rPr>
          <w:rStyle w:val="9"/>
          <w:rFonts w:hint="eastAsia" w:asciiTheme="minorEastAsia" w:hAnsiTheme="minorEastAsia" w:eastAsiaTheme="minorEastAsia"/>
          <w:sz w:val="24"/>
        </w:rPr>
        <w:t>吴莉敏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女士未持有公司股份。</w:t>
      </w:r>
    </w:p>
    <w:p>
      <w:pPr>
        <w:adjustRightInd w:val="0"/>
        <w:snapToGrid w:val="0"/>
        <w:spacing w:line="360" w:lineRule="auto"/>
        <w:ind w:firstLine="480" w:firstLineChars="200"/>
        <w:rPr>
          <w:rStyle w:val="9"/>
        </w:rPr>
      </w:pPr>
      <w:r>
        <w:rPr>
          <w:rStyle w:val="9"/>
          <w:rFonts w:asciiTheme="minorEastAsia" w:hAnsiTheme="minorEastAsia" w:eastAsiaTheme="minorEastAsia"/>
          <w:sz w:val="24"/>
        </w:rPr>
        <w:t>根据《公司法》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及</w:t>
      </w:r>
      <w:r>
        <w:rPr>
          <w:rStyle w:val="9"/>
          <w:rFonts w:asciiTheme="minorEastAsia" w:hAnsiTheme="minorEastAsia" w:eastAsiaTheme="minorEastAsia"/>
          <w:sz w:val="24"/>
        </w:rPr>
        <w:t>《公司章程》</w:t>
      </w:r>
      <w:r>
        <w:rPr>
          <w:rStyle w:val="9"/>
          <w:rFonts w:hint="eastAsia" w:asciiTheme="minorEastAsia" w:hAnsiTheme="minorEastAsia" w:eastAsiaTheme="minorEastAsia"/>
          <w:sz w:val="24"/>
        </w:rPr>
        <w:t>等</w:t>
      </w:r>
      <w:r>
        <w:rPr>
          <w:rStyle w:val="9"/>
          <w:rFonts w:asciiTheme="minorEastAsia" w:hAnsiTheme="minorEastAsia" w:eastAsiaTheme="minorEastAsia"/>
          <w:sz w:val="24"/>
        </w:rPr>
        <w:t>有关规定，</w:t>
      </w:r>
      <w:r>
        <w:rPr>
          <w:rStyle w:val="9"/>
          <w:rFonts w:hint="eastAsia" w:asciiTheme="minorEastAsia" w:hAnsiTheme="minorEastAsia" w:eastAsiaTheme="minorEastAsia"/>
          <w:sz w:val="24"/>
        </w:rPr>
        <w:t>吴莉敏女士</w:t>
      </w:r>
      <w:r>
        <w:rPr>
          <w:rStyle w:val="9"/>
          <w:rFonts w:asciiTheme="minorEastAsia" w:hAnsiTheme="minorEastAsia" w:eastAsiaTheme="minorEastAsia"/>
          <w:sz w:val="24"/>
        </w:rPr>
        <w:t>的辞职未导致公司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董事会成员</w:t>
      </w:r>
      <w:r>
        <w:rPr>
          <w:rStyle w:val="9"/>
          <w:rFonts w:asciiTheme="minorEastAsia" w:hAnsiTheme="minorEastAsia" w:eastAsiaTheme="minorEastAsia"/>
          <w:sz w:val="24"/>
        </w:rPr>
        <w:t>低于法定最低人数，不会影响公司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的正常运作，</w:t>
      </w:r>
      <w:r>
        <w:rPr>
          <w:rStyle w:val="9"/>
          <w:rFonts w:hint="eastAsia" w:asciiTheme="minorEastAsia" w:hAnsiTheme="minorEastAsia" w:eastAsiaTheme="minorEastAsia"/>
          <w:sz w:val="24"/>
        </w:rPr>
        <w:t>吴莉敏女士</w:t>
      </w:r>
      <w:r>
        <w:rPr>
          <w:rStyle w:val="9"/>
          <w:rFonts w:asciiTheme="minorEastAsia" w:hAnsiTheme="minorEastAsia" w:eastAsiaTheme="minorEastAsia"/>
          <w:sz w:val="24"/>
        </w:rPr>
        <w:t>的辞职报告自送达公司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之日起生效</w:t>
      </w:r>
      <w:r>
        <w:rPr>
          <w:rStyle w:val="9"/>
          <w:rFonts w:hint="eastAsia" w:asciiTheme="minorEastAsia" w:hAnsiTheme="minorEastAsia" w:eastAsiaTheme="minorEastAsia"/>
          <w:sz w:val="24"/>
        </w:rPr>
        <w:t>，</w:t>
      </w:r>
      <w:r>
        <w:rPr>
          <w:rStyle w:val="9"/>
          <w:rFonts w:asciiTheme="minorEastAsia" w:hAnsiTheme="minorEastAsia" w:eastAsiaTheme="minorEastAsia"/>
          <w:sz w:val="24"/>
        </w:rPr>
        <w:t>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将依照法定程序尽快完成</w:t>
      </w:r>
      <w:r>
        <w:rPr>
          <w:rStyle w:val="9"/>
          <w:rFonts w:hint="eastAsia" w:asciiTheme="minorEastAsia" w:hAnsiTheme="minorEastAsia" w:eastAsiaTheme="minorEastAsia"/>
          <w:sz w:val="24"/>
        </w:rPr>
        <w:t>董事补选</w:t>
      </w:r>
      <w:r>
        <w:rPr>
          <w:rStyle w:val="9"/>
          <w:rFonts w:asciiTheme="minorEastAsia" w:hAnsiTheme="minorEastAsia" w:eastAsiaTheme="minorEastAsia"/>
          <w:sz w:val="24"/>
        </w:rPr>
        <w:t>工作。</w:t>
      </w:r>
    </w:p>
    <w:p>
      <w:pPr>
        <w:adjustRightInd w:val="0"/>
        <w:snapToGrid w:val="0"/>
        <w:spacing w:line="360" w:lineRule="auto"/>
        <w:ind w:firstLine="480" w:firstLineChars="20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公司董事会对吴莉敏女士在任职期间忠诚履职、勤勉尽责表示衷心感谢。</w:t>
      </w:r>
    </w:p>
    <w:p>
      <w:pPr>
        <w:adjustRightInd w:val="0"/>
        <w:snapToGrid w:val="0"/>
        <w:spacing w:line="360" w:lineRule="auto"/>
        <w:ind w:firstLine="480" w:firstLineChars="200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asciiTheme="minorEastAsia" w:hAnsiTheme="minorEastAsia" w:eastAsiaTheme="minorEastAsia"/>
          <w:sz w:val="24"/>
        </w:rPr>
        <w:t>特此公告。</w:t>
      </w:r>
    </w:p>
    <w:p>
      <w:pPr>
        <w:adjustRightInd w:val="0"/>
        <w:snapToGrid w:val="0"/>
        <w:spacing w:line="360" w:lineRule="auto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rPr>
          <w:rStyle w:val="9"/>
          <w:rFonts w:asciiTheme="minorEastAsia" w:hAnsiTheme="minorEastAsia" w:eastAsiaTheme="minorEastAsia"/>
          <w:sz w:val="24"/>
        </w:rPr>
      </w:pPr>
      <w:bookmarkStart w:id="0" w:name="_GoBack"/>
      <w:bookmarkEnd w:id="0"/>
    </w:p>
    <w:p>
      <w:pPr>
        <w:adjustRightInd w:val="0"/>
        <w:snapToGrid w:val="0"/>
        <w:spacing w:line="360" w:lineRule="auto"/>
        <w:ind w:firstLine="4680" w:firstLineChars="195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中百控股集团</w:t>
      </w:r>
      <w:r>
        <w:rPr>
          <w:rStyle w:val="9"/>
          <w:rFonts w:asciiTheme="minorEastAsia" w:hAnsiTheme="minorEastAsia" w:eastAsiaTheme="minorEastAsia"/>
          <w:sz w:val="24"/>
        </w:rPr>
        <w:t>股份有限公司</w:t>
      </w:r>
    </w:p>
    <w:p>
      <w:pPr>
        <w:adjustRightInd w:val="0"/>
        <w:snapToGrid w:val="0"/>
        <w:spacing w:line="360" w:lineRule="auto"/>
        <w:ind w:firstLine="5640" w:firstLineChars="235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 xml:space="preserve">董  事  </w:t>
      </w:r>
      <w:r>
        <w:rPr>
          <w:rStyle w:val="9"/>
          <w:rFonts w:asciiTheme="minorEastAsia" w:hAnsiTheme="minorEastAsia" w:eastAsiaTheme="minorEastAsia"/>
          <w:sz w:val="24"/>
        </w:rPr>
        <w:t>会</w:t>
      </w:r>
    </w:p>
    <w:p>
      <w:pPr>
        <w:adjustRightInd w:val="0"/>
        <w:snapToGrid w:val="0"/>
        <w:spacing w:line="360" w:lineRule="auto"/>
        <w:ind w:firstLine="5280" w:firstLineChars="220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2022年3月5日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